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888888"/>
          <w:sz w:val="18"/>
          <w:szCs w:val="18"/>
        </w:rPr>
        <w:t xml:space="preserve">VERDANT INTELLIGENCE  |  Sample Content</w:t>
      </w:r>
    </w:p>
    <w:p>
      <w:pPr>
        <w:pBdr>
          <w:bottom w:val="single" w:color="1a5e38" w:sz="4" w:space="1"/>
        </w:pBdr>
        <w:spacing w:after="200" w:before="200"/>
      </w:pPr>
      <w:r>
        <w:t xml:space="preserve"/>
      </w:r>
    </w:p>
    <w:p>
      <w:pPr>
        <w:pStyle w:val="Heading1"/>
        <w:spacing w:after="140" w:before="320"/>
      </w:pPr>
      <w:r>
        <w:rPr>
          <w:rFonts w:ascii="Arial" w:cs="Arial" w:eastAsia="Arial" w:hAnsi="Arial"/>
          <w:b/>
          <w:bCs/>
          <w:color w:val="1a5e38"/>
          <w:sz w:val="32"/>
          <w:szCs w:val="32"/>
        </w:rPr>
        <w:t xml:space="preserve">Why the UK's Offshore Wind Boom Is Just Getting Started</w:t>
      </w:r>
    </w:p>
    <w:p>
      <w:pPr>
        <w:spacing w:after="240" w:before="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Published April 2025  |  Verdant Intelligence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The UK already generates more electricity from offshore wind than any other country in the world. But if you think we've hit peak ambition, think again.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The government's target of 50GW of offshore wind capacity by 2030 isn't just a climate pledge — it's an economic strategy. And for businesses operating in energy, infrastructure, utilities, or clean tech, the next five years represent one of the most significant procurement and investment windows in a generation.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d7a50"/>
          <w:sz w:val="26"/>
          <w:szCs w:val="26"/>
        </w:rPr>
        <w:t xml:space="preserve">The Numbers That Matter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The UK currently has around 14GW of installed offshore wind capacity. Reaching 50GW by 2030 means more than tripling that figure in under six years. To put that in context: every gigawatt of offshore wind capacity supports thousands of construction and maintenance jobs, anchors billions in supply chain spend, and displaces roughly a million tonnes of CO₂ annually.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That's not just a policy win. It's a commercial landslide for the right players.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d7a50"/>
          <w:sz w:val="26"/>
          <w:szCs w:val="26"/>
        </w:rPr>
        <w:t xml:space="preserve">Where the Opportunity Is Being Missed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Most commentary focuses on the turbine manufacturers — Siemens Gamesa, Vestas, GE. But the deeper opportunity sits in the layers beneath: port infrastructure, subsea cabling, blade maintenance, digital monitoring, planning consultancy, and finance.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The UK's domestic supply chain is currently undersupplied relative to pipeline demand. That gap is exactly where smart operators — and smart investors — should be positioning themselves.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d7a50"/>
          <w:sz w:val="26"/>
          <w:szCs w:val="26"/>
        </w:rPr>
        <w:t xml:space="preserve">What's Driving the Acceleration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Three forces are converging right now:</w:t>
      </w:r>
    </w:p>
    <w:p>
      <w:pPr>
        <w:spacing w:after="140" w:before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Grid connection reform. Ofgem's Connections Action Plan is clearing a backlog of projects that have been stuck in the queue for years. This is a structural unlock, not a political gesture.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Contract for Difference (CfD) maturation. Round 6 allocations are expected to set new records in capacity awarded. Developers now have the revenue certainty to move quickly.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Supply chain onshoring pressure. Post-pandemic and post-Ukraine, the strategic imperative to manufacture critical components domestically has gained serious political weight. That means UK-based suppliers are being pulled into conversations they weren't part of five years ago.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2d7a50"/>
          <w:sz w:val="26"/>
          <w:szCs w:val="26"/>
        </w:rPr>
        <w:t xml:space="preserve">What This Means for Your Business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If you operate anywhere near the energy transition — as a supplier, a property developer, a logistics firm, a professional services business — the question isn't whether offshore wind will affect your sector. It's whether you understand the timeline well enough to move before the window narrows.</w:t>
      </w:r>
    </w:p>
    <w:p>
      <w:pPr>
        <w:spacing w:after="140" w:before="80"/>
      </w:pPr>
      <w:r>
        <w:rPr>
          <w:rFonts w:ascii="Arial" w:cs="Arial" w:eastAsia="Arial" w:hAnsi="Arial"/>
          <w:sz w:val="22"/>
          <w:szCs w:val="22"/>
        </w:rPr>
        <w:t xml:space="preserve">The companies winning contracts in 2027 are building relationships now.</w:t>
      </w:r>
    </w:p>
    <w:p>
      <w:pPr>
        <w:pBdr>
          <w:bottom w:val="single" w:color="1a5e38" w:sz="4" w:space="1"/>
        </w:pBdr>
        <w:spacing w:after="200" w:before="200"/>
      </w:pPr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Verdant Intelligence publishes weekly analysis of the UK green energy market. To commission content for your business or subscribe to our research service: hello@verdantintelligence.co.uk</w:t>
      </w:r>
    </w:p>
    <w:sectPr>
      <w:pgSz w:w="11906" w:h="16838" w:orient="portrait"/>
      <w:pgMar w:top="1440" w:right="180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20"/>
      <w:outlineLvl w:val="0"/>
    </w:pPr>
    <w:rPr>
      <w:rFonts w:ascii="Arial" w:cs="Arial" w:eastAsia="Arial" w:hAnsi="Arial"/>
      <w:b/>
      <w:bCs/>
      <w:color w:val="1a5e3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2d7a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2026-04-26T18:15:38.722Z</dcterms:created>
  <dcterms:modified xsi:type="dcterms:W3CDTF">2026-04-26T18:15:38.723Z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